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1B99" w14:textId="4B2B3026" w:rsidR="00026B32" w:rsidRDefault="00026B32" w:rsidP="00026B32">
      <w:pPr>
        <w:rPr>
          <w:b/>
          <w:bCs/>
        </w:rPr>
      </w:pPr>
      <w:r>
        <w:rPr>
          <w:noProof/>
          <w:color w:val="000000"/>
          <w14:ligatures w14:val="none"/>
        </w:rPr>
        <w:drawing>
          <wp:inline distT="0" distB="0" distL="0" distR="0" wp14:anchorId="0F8C22E9" wp14:editId="156174C7">
            <wp:extent cx="2190750" cy="968007"/>
            <wp:effectExtent l="0" t="0" r="0" b="3810"/>
            <wp:docPr id="588490159" name="Picture 1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90159" name="Picture 1" descr="A logo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87" cy="97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</w:t>
      </w:r>
      <w:r>
        <w:rPr>
          <w:b/>
          <w:bCs/>
          <w:noProof/>
        </w:rPr>
        <w:drawing>
          <wp:inline distT="0" distB="0" distL="0" distR="0" wp14:anchorId="661E96B3" wp14:editId="7122324E">
            <wp:extent cx="3038475" cy="659312"/>
            <wp:effectExtent l="0" t="0" r="0" b="7620"/>
            <wp:docPr id="174353003" name="Picture 3" descr="A black and blue sign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3003" name="Picture 3" descr="A black and blue sign with white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87" cy="67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24D1" w14:textId="77777777" w:rsidR="00026B32" w:rsidRPr="00026B32" w:rsidRDefault="00026B32" w:rsidP="00026B32">
      <w:pPr>
        <w:jc w:val="right"/>
        <w:rPr>
          <w:b/>
          <w:bCs/>
          <w:sz w:val="28"/>
          <w:szCs w:val="28"/>
        </w:rPr>
      </w:pPr>
    </w:p>
    <w:p w14:paraId="08D90438" w14:textId="404291F0" w:rsidR="00026B32" w:rsidRDefault="00BB764C" w:rsidP="00026B32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Regional </w:t>
      </w:r>
      <w:r w:rsidR="007410ED" w:rsidRPr="00026B32">
        <w:rPr>
          <w:b/>
          <w:bCs/>
          <w:sz w:val="28"/>
          <w:szCs w:val="28"/>
        </w:rPr>
        <w:t>Managing Attorney</w:t>
      </w:r>
      <w:r w:rsidR="007410ED" w:rsidRPr="007410ED">
        <w:rPr>
          <w:b/>
          <w:bCs/>
        </w:rPr>
        <w:t xml:space="preserve"> </w:t>
      </w:r>
    </w:p>
    <w:p w14:paraId="563E74AA" w14:textId="145D8690" w:rsidR="00026B32" w:rsidRDefault="00026B32" w:rsidP="00026B3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Region 1, Region 3 and Region 4 for </w:t>
      </w:r>
      <w:r w:rsidR="007410ED" w:rsidRPr="007410ED">
        <w:rPr>
          <w:b/>
          <w:bCs/>
        </w:rPr>
        <w:t>Parent or Child</w:t>
      </w:r>
      <w:r>
        <w:rPr>
          <w:b/>
          <w:bCs/>
        </w:rPr>
        <w:t xml:space="preserve"> Representation</w:t>
      </w:r>
    </w:p>
    <w:p w14:paraId="063EA6FF" w14:textId="77777777" w:rsidR="00026B32" w:rsidRDefault="00026B32" w:rsidP="00026B32">
      <w:pPr>
        <w:spacing w:after="0"/>
        <w:jc w:val="center"/>
        <w:rPr>
          <w:b/>
          <w:bCs/>
        </w:rPr>
      </w:pPr>
    </w:p>
    <w:p w14:paraId="03126E90" w14:textId="56EE346A" w:rsidR="007410ED" w:rsidRDefault="00026B32" w:rsidP="007410ED">
      <w:r>
        <w:t xml:space="preserve">The Oklahoma Office of Family Representation (OFR), a program of </w:t>
      </w:r>
      <w:r w:rsidR="007410ED">
        <w:t>Legal Aid Services of Oklahoma (LASO) is seeking an experienced Managing Attorney (MA</w:t>
      </w:r>
      <w:r>
        <w:t xml:space="preserve">) to </w:t>
      </w:r>
      <w:r w:rsidR="00BB764C">
        <w:t>execute the primary duties of</w:t>
      </w:r>
      <w:r>
        <w:t xml:space="preserve"> recruit</w:t>
      </w:r>
      <w:r w:rsidR="005A3C24">
        <w:t>ing</w:t>
      </w:r>
      <w:r>
        <w:t>, contracting</w:t>
      </w:r>
      <w:r w:rsidR="00BB764C">
        <w:t>, overs</w:t>
      </w:r>
      <w:r w:rsidR="005A3C24">
        <w:t>eeing</w:t>
      </w:r>
      <w:r w:rsidR="00BB764C">
        <w:t>, and support</w:t>
      </w:r>
      <w:r w:rsidR="005A3C24">
        <w:t xml:space="preserve">ing OFR’s </w:t>
      </w:r>
      <w:r>
        <w:t>contract attorneys;</w:t>
      </w:r>
      <w:r w:rsidR="00BB764C">
        <w:t xml:space="preserve"> additional duties include</w:t>
      </w:r>
      <w:r>
        <w:t xml:space="preserve"> litigation support</w:t>
      </w:r>
      <w:r w:rsidR="005A3C24">
        <w:t>, c</w:t>
      </w:r>
      <w:r>
        <w:t>ase consultation, implementation of</w:t>
      </w:r>
      <w:r w:rsidR="00BB764C">
        <w:t xml:space="preserve"> </w:t>
      </w:r>
      <w:r>
        <w:t xml:space="preserve">attorney practice standards, coordination and </w:t>
      </w:r>
      <w:r w:rsidR="00BB764C">
        <w:t>presentation</w:t>
      </w:r>
      <w:r>
        <w:t xml:space="preserve"> of attorney trainings and </w:t>
      </w:r>
      <w:r w:rsidR="00BB764C">
        <w:t xml:space="preserve">developing </w:t>
      </w:r>
      <w:r>
        <w:t>resource</w:t>
      </w:r>
      <w:r w:rsidR="00BB764C">
        <w:t>s</w:t>
      </w:r>
      <w:r>
        <w:t xml:space="preserve"> plus a variety of support functions for the Oklahoma Office of Family Representation</w:t>
      </w:r>
      <w:r w:rsidR="007410ED">
        <w:t>. The MA will</w:t>
      </w:r>
      <w:r w:rsidR="00BB764C">
        <w:t xml:space="preserve"> </w:t>
      </w:r>
      <w:r w:rsidR="005A3C24">
        <w:t>e</w:t>
      </w:r>
      <w:r w:rsidR="00BB764C">
        <w:t xml:space="preserve">nsure </w:t>
      </w:r>
      <w:r w:rsidR="007410ED">
        <w:t xml:space="preserve">implementation of high-quality, interdisciplinary legal representation for parents </w:t>
      </w:r>
      <w:r w:rsidR="00BB764C">
        <w:t>and/</w:t>
      </w:r>
      <w:r w:rsidR="007410ED">
        <w:t>or children in child welfare cases. This role reports to the Executive Director and works closely with the Regional Director of Social Work and the Executive Team.</w:t>
      </w:r>
    </w:p>
    <w:p w14:paraId="752847AD" w14:textId="77777777" w:rsidR="007410ED" w:rsidRPr="007410ED" w:rsidRDefault="007410ED" w:rsidP="007410ED">
      <w:pPr>
        <w:rPr>
          <w:b/>
          <w:bCs/>
        </w:rPr>
      </w:pPr>
      <w:r w:rsidRPr="007410ED">
        <w:rPr>
          <w:b/>
          <w:bCs/>
        </w:rPr>
        <w:t>Program Overview</w:t>
      </w:r>
    </w:p>
    <w:p w14:paraId="157A5D20" w14:textId="221C8529" w:rsidR="009916BC" w:rsidRDefault="00BB764C" w:rsidP="00BB764C">
      <w:r>
        <w:t>Passed into law in 2023, the Family Representation Advocacy Act, 10 O.S. Section 801 et seq., established the Family Representation Advocacy Program with</w:t>
      </w:r>
      <w:r w:rsidR="005A3C24">
        <w:t>in</w:t>
      </w:r>
      <w:r>
        <w:t xml:space="preserve"> the Administrative Office of the Courts and the AOC has contracted with Legal Aid Service of Oklahoma to brin</w:t>
      </w:r>
      <w:r w:rsidR="009916BC">
        <w:t>g</w:t>
      </w:r>
      <w:r>
        <w:t xml:space="preserve"> the OFR to life.  </w:t>
      </w:r>
    </w:p>
    <w:p w14:paraId="79339AAF" w14:textId="4242DB8D" w:rsidR="009916BC" w:rsidRDefault="009916BC" w:rsidP="00BB764C">
      <w:r>
        <w:t>OFR is dedicated to ensuring all children and qualified parents, legal guardians, and Indian custodiams receive attorneys prepared to deliver uniform and high-quality legal representation in deprived child actions brough by the state pursuant to Title 10A.</w:t>
      </w:r>
    </w:p>
    <w:p w14:paraId="5B31D945" w14:textId="48192473" w:rsidR="00BB764C" w:rsidRDefault="009916BC" w:rsidP="00BB764C">
      <w:r>
        <w:t>OFR e</w:t>
      </w:r>
      <w:r w:rsidR="00BB764C">
        <w:t>mphasizes interdisciplinary legal defense, integrating attorneys, social workers, and mentors to protect clients' rights and reduce family separation.</w:t>
      </w:r>
    </w:p>
    <w:p w14:paraId="2C88F37B" w14:textId="77777777" w:rsidR="007410ED" w:rsidRPr="007410ED" w:rsidRDefault="007410ED" w:rsidP="007410ED">
      <w:pPr>
        <w:rPr>
          <w:b/>
          <w:bCs/>
        </w:rPr>
      </w:pPr>
      <w:r w:rsidRPr="007410ED">
        <w:rPr>
          <w:b/>
          <w:bCs/>
        </w:rPr>
        <w:t>Key Responsibilities</w:t>
      </w:r>
    </w:p>
    <w:p w14:paraId="76D47F1D" w14:textId="6624EE5F" w:rsidR="007410ED" w:rsidRPr="007410ED" w:rsidRDefault="007410ED" w:rsidP="007410ED">
      <w:pPr>
        <w:rPr>
          <w:i/>
          <w:iCs/>
        </w:rPr>
      </w:pPr>
      <w:r w:rsidRPr="007410ED">
        <w:rPr>
          <w:i/>
          <w:iCs/>
        </w:rPr>
        <w:t>Program Leadership &amp; Development</w:t>
      </w:r>
    </w:p>
    <w:p w14:paraId="511D6303" w14:textId="38D7065D" w:rsidR="007410ED" w:rsidRDefault="007410ED" w:rsidP="007410ED">
      <w:pPr>
        <w:pStyle w:val="ListParagraph"/>
        <w:numPr>
          <w:ilvl w:val="0"/>
          <w:numId w:val="1"/>
        </w:numPr>
      </w:pPr>
      <w:r>
        <w:t xml:space="preserve">Work with the Executive Director, Regional Director of Social Work, and stakeholders to execute </w:t>
      </w:r>
      <w:r w:rsidR="009916BC">
        <w:t>OFR</w:t>
      </w:r>
      <w:r>
        <w:t>’s mission.</w:t>
      </w:r>
    </w:p>
    <w:p w14:paraId="6F6C3E15" w14:textId="77777777" w:rsidR="007410ED" w:rsidRDefault="007410ED" w:rsidP="007410ED">
      <w:pPr>
        <w:pStyle w:val="ListParagraph"/>
        <w:numPr>
          <w:ilvl w:val="0"/>
          <w:numId w:val="1"/>
        </w:numPr>
      </w:pPr>
      <w:r>
        <w:t>Assist with annual budget narratives, performance reports, and policy development.</w:t>
      </w:r>
    </w:p>
    <w:p w14:paraId="26969D39" w14:textId="7C223F58" w:rsidR="007410ED" w:rsidRDefault="007410ED" w:rsidP="007410ED">
      <w:pPr>
        <w:pStyle w:val="ListParagraph"/>
        <w:numPr>
          <w:ilvl w:val="0"/>
          <w:numId w:val="1"/>
        </w:numPr>
      </w:pPr>
      <w:r>
        <w:t>Promote interdisciplinary legal teams.</w:t>
      </w:r>
    </w:p>
    <w:p w14:paraId="7B1A5544" w14:textId="77777777" w:rsidR="007410ED" w:rsidRDefault="007410ED" w:rsidP="007410ED">
      <w:pPr>
        <w:pStyle w:val="ListParagraph"/>
        <w:numPr>
          <w:ilvl w:val="0"/>
          <w:numId w:val="1"/>
        </w:numPr>
      </w:pPr>
      <w:r>
        <w:t>Identify systemic issues and develop solutions.</w:t>
      </w:r>
    </w:p>
    <w:p w14:paraId="66CAE75E" w14:textId="31D9A261" w:rsidR="007410ED" w:rsidRPr="007410ED" w:rsidRDefault="007410ED" w:rsidP="007410ED">
      <w:pPr>
        <w:rPr>
          <w:i/>
          <w:iCs/>
        </w:rPr>
      </w:pPr>
      <w:r w:rsidRPr="007410ED">
        <w:rPr>
          <w:i/>
          <w:iCs/>
        </w:rPr>
        <w:t>Attorney Recruitment, Training &amp; Oversight</w:t>
      </w:r>
    </w:p>
    <w:p w14:paraId="111AFD62" w14:textId="1EA5F5B7" w:rsidR="007410ED" w:rsidRDefault="007410ED" w:rsidP="009916BC">
      <w:pPr>
        <w:pStyle w:val="ListParagraph"/>
        <w:numPr>
          <w:ilvl w:val="0"/>
          <w:numId w:val="2"/>
        </w:numPr>
      </w:pPr>
      <w:r>
        <w:t>Recruit</w:t>
      </w:r>
      <w:r w:rsidR="009916BC">
        <w:t xml:space="preserve">, oversee, and support </w:t>
      </w:r>
      <w:r>
        <w:t>contract attorneys for (parent or child) representation.</w:t>
      </w:r>
    </w:p>
    <w:p w14:paraId="53775238" w14:textId="74E06350" w:rsidR="007410ED" w:rsidRDefault="007410ED" w:rsidP="007410ED">
      <w:pPr>
        <w:pStyle w:val="ListParagraph"/>
        <w:numPr>
          <w:ilvl w:val="0"/>
          <w:numId w:val="2"/>
        </w:numPr>
      </w:pPr>
      <w:r>
        <w:t xml:space="preserve">Oversee quality of legal services, conduct court observations, and </w:t>
      </w:r>
      <w:r w:rsidR="00FB3E85">
        <w:t>annual reviews</w:t>
      </w:r>
      <w:r>
        <w:t>.</w:t>
      </w:r>
    </w:p>
    <w:p w14:paraId="239A2256" w14:textId="33F6DAA8" w:rsidR="007410ED" w:rsidRDefault="007410ED" w:rsidP="007410ED">
      <w:pPr>
        <w:pStyle w:val="ListParagraph"/>
        <w:numPr>
          <w:ilvl w:val="0"/>
          <w:numId w:val="2"/>
        </w:numPr>
      </w:pPr>
      <w:r>
        <w:t>Monitor caseloads</w:t>
      </w:r>
      <w:r w:rsidR="009916BC">
        <w:t xml:space="preserve">, ensure </w:t>
      </w:r>
      <w:r w:rsidR="009916BC">
        <w:t>high-quality legal representation</w:t>
      </w:r>
      <w:r w:rsidR="009916BC">
        <w:t xml:space="preserve"> </w:t>
      </w:r>
      <w:r>
        <w:t>and compliance with professional standards.</w:t>
      </w:r>
    </w:p>
    <w:p w14:paraId="6B23F79C" w14:textId="174255B6" w:rsidR="007410ED" w:rsidRDefault="007410ED" w:rsidP="007410ED">
      <w:pPr>
        <w:pStyle w:val="ListParagraph"/>
        <w:numPr>
          <w:ilvl w:val="0"/>
          <w:numId w:val="2"/>
        </w:numPr>
      </w:pPr>
      <w:r>
        <w:t xml:space="preserve">Develop </w:t>
      </w:r>
      <w:r w:rsidR="009916BC">
        <w:t xml:space="preserve">and present </w:t>
      </w:r>
      <w:r>
        <w:t>training programs for attorneys, social workers, and mentors.</w:t>
      </w:r>
    </w:p>
    <w:p w14:paraId="505A736F" w14:textId="3B18F7C3" w:rsidR="007410ED" w:rsidRPr="007410ED" w:rsidRDefault="007410ED" w:rsidP="007410ED">
      <w:pPr>
        <w:rPr>
          <w:i/>
          <w:iCs/>
        </w:rPr>
      </w:pPr>
      <w:r w:rsidRPr="007410ED">
        <w:rPr>
          <w:i/>
          <w:iCs/>
        </w:rPr>
        <w:t>Litigation Support &amp; Case Consultation</w:t>
      </w:r>
    </w:p>
    <w:p w14:paraId="390B4197" w14:textId="6E63A422" w:rsidR="007410ED" w:rsidRDefault="007410ED" w:rsidP="007410ED">
      <w:pPr>
        <w:pStyle w:val="ListParagraph"/>
        <w:numPr>
          <w:ilvl w:val="0"/>
          <w:numId w:val="3"/>
        </w:numPr>
      </w:pPr>
      <w:r>
        <w:t>Work with the Regional Director of Social Work to develop legal and social work strategies</w:t>
      </w:r>
      <w:r w:rsidR="00FB3E85">
        <w:t xml:space="preserve"> for the interdisciplinary teams</w:t>
      </w:r>
      <w:r>
        <w:t>.</w:t>
      </w:r>
    </w:p>
    <w:p w14:paraId="7FE016A4" w14:textId="2E106CCE" w:rsidR="007410ED" w:rsidRDefault="007410ED" w:rsidP="007410ED">
      <w:pPr>
        <w:pStyle w:val="ListParagraph"/>
        <w:numPr>
          <w:ilvl w:val="0"/>
          <w:numId w:val="3"/>
        </w:numPr>
      </w:pPr>
      <w:r>
        <w:t>Identify resources for litigation</w:t>
      </w:r>
      <w:r w:rsidR="009916BC">
        <w:t xml:space="preserve"> including expert witnesses</w:t>
      </w:r>
      <w:r>
        <w:t>.</w:t>
      </w:r>
    </w:p>
    <w:p w14:paraId="52D19B25" w14:textId="77777777" w:rsidR="007410ED" w:rsidRDefault="007410ED" w:rsidP="007410ED">
      <w:pPr>
        <w:pStyle w:val="ListParagraph"/>
        <w:numPr>
          <w:ilvl w:val="0"/>
          <w:numId w:val="3"/>
        </w:numPr>
      </w:pPr>
      <w:r>
        <w:t>Provide technical assistance and training on best legal practices.</w:t>
      </w:r>
    </w:p>
    <w:p w14:paraId="4E39C729" w14:textId="3FE25EE3" w:rsidR="007410ED" w:rsidRDefault="009916BC" w:rsidP="007410ED">
      <w:pPr>
        <w:pStyle w:val="ListParagraph"/>
        <w:numPr>
          <w:ilvl w:val="0"/>
          <w:numId w:val="3"/>
        </w:numPr>
      </w:pPr>
      <w:r>
        <w:t>Assist with m</w:t>
      </w:r>
      <w:r w:rsidR="007410ED">
        <w:t>aintain</w:t>
      </w:r>
      <w:r>
        <w:t>ing</w:t>
      </w:r>
      <w:r w:rsidR="007410ED">
        <w:t xml:space="preserve"> </w:t>
      </w:r>
      <w:r>
        <w:t>the</w:t>
      </w:r>
      <w:r w:rsidR="007410ED">
        <w:t xml:space="preserve"> legal resource database</w:t>
      </w:r>
      <w:r>
        <w:t>, i.e. case law, brief</w:t>
      </w:r>
      <w:r w:rsidR="00FB3E85">
        <w:t>/form</w:t>
      </w:r>
      <w:r>
        <w:t xml:space="preserve"> banks, </w:t>
      </w:r>
      <w:r w:rsidR="00FB3E85">
        <w:t>regulations</w:t>
      </w:r>
      <w:r w:rsidR="007410ED">
        <w:t>.</w:t>
      </w:r>
    </w:p>
    <w:p w14:paraId="52447DDA" w14:textId="54B252BC" w:rsidR="007410ED" w:rsidRPr="007410ED" w:rsidRDefault="007410ED" w:rsidP="007410ED">
      <w:pPr>
        <w:rPr>
          <w:i/>
          <w:iCs/>
        </w:rPr>
      </w:pPr>
      <w:r w:rsidRPr="007410ED">
        <w:rPr>
          <w:i/>
          <w:iCs/>
        </w:rPr>
        <w:t>Stakeholder Collaboration &amp; Policy Advocacy</w:t>
      </w:r>
    </w:p>
    <w:p w14:paraId="289CF41B" w14:textId="7880C92B" w:rsidR="007410ED" w:rsidRDefault="007410ED" w:rsidP="007410ED">
      <w:pPr>
        <w:pStyle w:val="ListParagraph"/>
        <w:numPr>
          <w:ilvl w:val="0"/>
          <w:numId w:val="4"/>
        </w:numPr>
      </w:pPr>
      <w:r>
        <w:t>Meet regularly with judges</w:t>
      </w:r>
      <w:r w:rsidR="005A3C24">
        <w:t>, OHS,</w:t>
      </w:r>
      <w:r>
        <w:t xml:space="preserve"> and</w:t>
      </w:r>
      <w:r w:rsidR="005A3C24">
        <w:t xml:space="preserve"> other</w:t>
      </w:r>
      <w:r>
        <w:t xml:space="preserve"> child welfare stakeholders</w:t>
      </w:r>
      <w:r w:rsidR="005A3C24">
        <w:t>.</w:t>
      </w:r>
    </w:p>
    <w:p w14:paraId="284D7678" w14:textId="179146D7" w:rsidR="007410ED" w:rsidRDefault="007410ED" w:rsidP="007410ED">
      <w:pPr>
        <w:pStyle w:val="ListParagraph"/>
        <w:numPr>
          <w:ilvl w:val="0"/>
          <w:numId w:val="4"/>
        </w:numPr>
      </w:pPr>
      <w:r>
        <w:t xml:space="preserve">Represent </w:t>
      </w:r>
      <w:r w:rsidR="009916BC">
        <w:t>OFR</w:t>
      </w:r>
      <w:r>
        <w:t xml:space="preserve"> at external meetings, trainings, and conferences.</w:t>
      </w:r>
    </w:p>
    <w:p w14:paraId="3EC69816" w14:textId="77DC3163" w:rsidR="007410ED" w:rsidRDefault="007410ED" w:rsidP="007410ED">
      <w:pPr>
        <w:pStyle w:val="ListParagraph"/>
        <w:numPr>
          <w:ilvl w:val="0"/>
          <w:numId w:val="4"/>
        </w:numPr>
      </w:pPr>
      <w:r>
        <w:t xml:space="preserve">Work closely with </w:t>
      </w:r>
      <w:r w:rsidR="009916BC">
        <w:t>OFR’s</w:t>
      </w:r>
      <w:r>
        <w:t xml:space="preserve"> Executive Team to fulfill contractual and reporting requirements.</w:t>
      </w:r>
    </w:p>
    <w:p w14:paraId="63C54A33" w14:textId="77777777" w:rsidR="007410ED" w:rsidRPr="007410ED" w:rsidRDefault="007410ED" w:rsidP="007410ED">
      <w:pPr>
        <w:rPr>
          <w:b/>
          <w:bCs/>
        </w:rPr>
      </w:pPr>
      <w:r w:rsidRPr="007410ED">
        <w:rPr>
          <w:b/>
          <w:bCs/>
        </w:rPr>
        <w:lastRenderedPageBreak/>
        <w:t>Qualifications &amp; Requirements</w:t>
      </w:r>
    </w:p>
    <w:p w14:paraId="22BC67F0" w14:textId="77777777" w:rsidR="007410ED" w:rsidRDefault="007410ED" w:rsidP="007410ED">
      <w:pPr>
        <w:pStyle w:val="ListParagraph"/>
        <w:numPr>
          <w:ilvl w:val="0"/>
          <w:numId w:val="5"/>
        </w:numPr>
      </w:pPr>
      <w:r>
        <w:t>Licensed attorney in Oklahoma and in good standing.</w:t>
      </w:r>
    </w:p>
    <w:p w14:paraId="30EC1AC2" w14:textId="5EA61673" w:rsidR="007410ED" w:rsidRDefault="007410ED" w:rsidP="007410ED">
      <w:pPr>
        <w:pStyle w:val="ListParagraph"/>
        <w:numPr>
          <w:ilvl w:val="0"/>
          <w:numId w:val="5"/>
        </w:numPr>
      </w:pPr>
      <w:r>
        <w:t xml:space="preserve">J.D./LL.B. from an accredited law school with </w:t>
      </w:r>
      <w:r w:rsidRPr="009916BC">
        <w:rPr>
          <w:i/>
          <w:iCs/>
        </w:rPr>
        <w:t>10+ years</w:t>
      </w:r>
      <w:r>
        <w:t xml:space="preserve"> of experience </w:t>
      </w:r>
      <w:r w:rsidR="009916BC">
        <w:t>as a licensed attorney.</w:t>
      </w:r>
    </w:p>
    <w:p w14:paraId="6CCB63A2" w14:textId="5E70D1D3" w:rsidR="007410ED" w:rsidRDefault="007410ED" w:rsidP="007410ED">
      <w:pPr>
        <w:pStyle w:val="ListParagraph"/>
        <w:numPr>
          <w:ilvl w:val="0"/>
          <w:numId w:val="5"/>
        </w:numPr>
      </w:pPr>
      <w:r>
        <w:t>5+ years of litigation experience in child welfare and deprived court proceedings</w:t>
      </w:r>
      <w:r w:rsidR="009916BC">
        <w:t xml:space="preserve"> including substantial hearing and non-jury/jury trial experience.</w:t>
      </w:r>
    </w:p>
    <w:p w14:paraId="51BA31EA" w14:textId="77777777" w:rsidR="007410ED" w:rsidRDefault="007410ED" w:rsidP="007410ED">
      <w:pPr>
        <w:pStyle w:val="ListParagraph"/>
        <w:numPr>
          <w:ilvl w:val="0"/>
          <w:numId w:val="5"/>
        </w:numPr>
      </w:pPr>
      <w:r>
        <w:t>3+ years of supervisory experience.</w:t>
      </w:r>
    </w:p>
    <w:p w14:paraId="6F19C5C8" w14:textId="77777777" w:rsidR="007410ED" w:rsidRPr="007410ED" w:rsidRDefault="007410ED" w:rsidP="007410ED">
      <w:pPr>
        <w:rPr>
          <w:b/>
          <w:bCs/>
        </w:rPr>
      </w:pPr>
      <w:r w:rsidRPr="007410ED">
        <w:rPr>
          <w:b/>
          <w:bCs/>
        </w:rPr>
        <w:t>Knowledge of:</w:t>
      </w:r>
    </w:p>
    <w:p w14:paraId="415C9197" w14:textId="2842A0BC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Legal principles and practices including civil, juvenile, constitutional, and alternative dispute resolution.</w:t>
      </w:r>
    </w:p>
    <w:p w14:paraId="3739AFD9" w14:textId="5F00EA4D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Management and supervisory principles, practices, and techniques</w:t>
      </w:r>
      <w:r w:rsidR="00FB3E85">
        <w:t xml:space="preserve"> for independent contractors.</w:t>
      </w:r>
    </w:p>
    <w:p w14:paraId="30DC6462" w14:textId="2DD435B1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The American Bar Association’s Standards of Practice for Attorneys Representing Parents and Children in Abuse and Neglect cases.</w:t>
      </w:r>
    </w:p>
    <w:p w14:paraId="009B680F" w14:textId="3B2D4159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Oklahoma Standards of Practice for Attorneys Representing Parents</w:t>
      </w:r>
      <w:r w:rsidR="00FB3E85">
        <w:t xml:space="preserve"> and Children </w:t>
      </w:r>
      <w:r w:rsidRPr="007410ED">
        <w:t>in Deprived Child Proceedings.</w:t>
      </w:r>
    </w:p>
    <w:p w14:paraId="6461AD39" w14:textId="044B6730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Oklahoma Rules of Evidence, Rules of Civil Procedure, Local Rules, Oklahoma Children’s Code, and all other relevant State and Federal Laws codes, and regulations.</w:t>
      </w:r>
    </w:p>
    <w:p w14:paraId="4658AE83" w14:textId="46EABEE9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Methods and practices of pleading cases and of effective techniques for presentation of cases in court.</w:t>
      </w:r>
    </w:p>
    <w:p w14:paraId="53405089" w14:textId="7E736D06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OKDHS policies and state law pertaining to child abuse and neglect.</w:t>
      </w:r>
    </w:p>
    <w:p w14:paraId="50D056A8" w14:textId="1A9B231F" w:rsidR="007410ED" w:rsidRDefault="007410ED" w:rsidP="007410ED">
      <w:pPr>
        <w:pStyle w:val="ListParagraph"/>
        <w:numPr>
          <w:ilvl w:val="0"/>
          <w:numId w:val="10"/>
        </w:numPr>
      </w:pPr>
      <w:r w:rsidRPr="007410ED">
        <w:t>Child development, social work, trauma, the child welfare system, public interest issues, and related community services available to support children and families.</w:t>
      </w:r>
    </w:p>
    <w:p w14:paraId="540FB339" w14:textId="753AAACB" w:rsidR="007410ED" w:rsidRDefault="007410ED" w:rsidP="007410ED">
      <w:pPr>
        <w:pStyle w:val="ListParagraph"/>
        <w:numPr>
          <w:ilvl w:val="0"/>
          <w:numId w:val="10"/>
        </w:numPr>
      </w:pPr>
      <w:r>
        <w:t xml:space="preserve">The National Council of Juvenile and Family Court Judges’ Enhances Resource Guidelines for Improving Court Practice in Child Abuse and Neglect cases. </w:t>
      </w:r>
    </w:p>
    <w:p w14:paraId="0FE0582B" w14:textId="5230C9CC" w:rsidR="007410ED" w:rsidRPr="007410ED" w:rsidRDefault="007410ED" w:rsidP="007410ED">
      <w:pPr>
        <w:pStyle w:val="ListParagraph"/>
        <w:numPr>
          <w:ilvl w:val="0"/>
          <w:numId w:val="10"/>
        </w:numPr>
      </w:pPr>
      <w:r>
        <w:t>All aspects of substantive child abuse and neglect litigation.</w:t>
      </w:r>
    </w:p>
    <w:p w14:paraId="7505E3B5" w14:textId="577F05A0" w:rsidR="00E275B6" w:rsidRDefault="00E275B6" w:rsidP="007410ED">
      <w:pPr>
        <w:rPr>
          <w:b/>
          <w:bCs/>
        </w:rPr>
      </w:pPr>
      <w:r>
        <w:rPr>
          <w:b/>
          <w:bCs/>
        </w:rPr>
        <w:t>Skills and Abilities:</w:t>
      </w:r>
    </w:p>
    <w:p w14:paraId="5909583E" w14:textId="0E25BE63" w:rsidR="00E275B6" w:rsidRPr="00E275B6" w:rsidRDefault="00E275B6" w:rsidP="00E275B6">
      <w:pPr>
        <w:pStyle w:val="ListParagraph"/>
        <w:numPr>
          <w:ilvl w:val="0"/>
          <w:numId w:val="11"/>
        </w:numPr>
      </w:pPr>
      <w:r w:rsidRPr="00E275B6">
        <w:t>Multi-tasking</w:t>
      </w:r>
      <w:r>
        <w:t>, problem solving,</w:t>
      </w:r>
      <w:r w:rsidRPr="00E275B6">
        <w:t xml:space="preserve"> and being a productive TEAM player. </w:t>
      </w:r>
    </w:p>
    <w:p w14:paraId="6091CAC5" w14:textId="59059728" w:rsidR="00E275B6" w:rsidRPr="00E275B6" w:rsidRDefault="00E275B6" w:rsidP="00E275B6">
      <w:pPr>
        <w:pStyle w:val="ListParagraph"/>
        <w:numPr>
          <w:ilvl w:val="0"/>
          <w:numId w:val="11"/>
        </w:numPr>
      </w:pPr>
      <w:r w:rsidRPr="00E275B6">
        <w:t xml:space="preserve">Analyzing facts, policies, procedures, and legal precedents in area of specialty. </w:t>
      </w:r>
    </w:p>
    <w:p w14:paraId="2666E5D7" w14:textId="067FCA38" w:rsidR="00E275B6" w:rsidRPr="00E275B6" w:rsidRDefault="00E275B6" w:rsidP="00E275B6">
      <w:pPr>
        <w:pStyle w:val="ListParagraph"/>
        <w:numPr>
          <w:ilvl w:val="0"/>
          <w:numId w:val="11"/>
        </w:numPr>
      </w:pPr>
      <w:r w:rsidRPr="00E275B6">
        <w:t xml:space="preserve">Operating a variety of office equipment and </w:t>
      </w:r>
      <w:r w:rsidR="00FB3E85" w:rsidRPr="00E275B6">
        <w:t xml:space="preserve">Microsoft </w:t>
      </w:r>
      <w:r w:rsidRPr="00E275B6">
        <w:t>software</w:t>
      </w:r>
      <w:r w:rsidR="00FB3E85">
        <w:t xml:space="preserve"> products</w:t>
      </w:r>
      <w:r w:rsidRPr="00E275B6">
        <w:t xml:space="preserve"> including </w:t>
      </w:r>
      <w:r w:rsidR="00FB3E85">
        <w:t>W</w:t>
      </w:r>
      <w:r w:rsidRPr="00E275B6">
        <w:t xml:space="preserve">ord </w:t>
      </w:r>
      <w:r w:rsidR="00FB3E85">
        <w:t xml:space="preserve">Excel, Publisher, </w:t>
      </w:r>
      <w:r w:rsidRPr="00E275B6">
        <w:t>PowerPoint, Outlook, Teams a</w:t>
      </w:r>
      <w:r w:rsidR="00FB3E85">
        <w:t xml:space="preserve">s well as </w:t>
      </w:r>
      <w:proofErr w:type="spellStart"/>
      <w:r w:rsidR="00FB3E85">
        <w:t>Le</w:t>
      </w:r>
      <w:r w:rsidRPr="00E275B6">
        <w:t>galServer</w:t>
      </w:r>
      <w:proofErr w:type="spellEnd"/>
      <w:r w:rsidR="00FB3E85">
        <w:t xml:space="preserve"> and Paycom</w:t>
      </w:r>
      <w:r w:rsidRPr="00E275B6">
        <w:t>.</w:t>
      </w:r>
    </w:p>
    <w:p w14:paraId="5A9B820F" w14:textId="24EEB797" w:rsidR="007410ED" w:rsidRPr="007410ED" w:rsidRDefault="007410ED" w:rsidP="007410ED">
      <w:pPr>
        <w:rPr>
          <w:b/>
          <w:bCs/>
        </w:rPr>
      </w:pPr>
      <w:r w:rsidRPr="007410ED">
        <w:rPr>
          <w:b/>
          <w:bCs/>
        </w:rPr>
        <w:t>Work Environment &amp; Travel</w:t>
      </w:r>
    </w:p>
    <w:p w14:paraId="0B596500" w14:textId="019D4860" w:rsidR="00FB3E85" w:rsidRDefault="00FB3E85" w:rsidP="005A3C24">
      <w:pPr>
        <w:pStyle w:val="ListParagraph"/>
        <w:numPr>
          <w:ilvl w:val="0"/>
          <w:numId w:val="8"/>
        </w:numPr>
      </w:pPr>
      <w:r>
        <w:t xml:space="preserve">Remote or hybrid depending on </w:t>
      </w:r>
      <w:proofErr w:type="gramStart"/>
      <w:r>
        <w:t>Region</w:t>
      </w:r>
      <w:proofErr w:type="gramEnd"/>
      <w:r>
        <w:t>.</w:t>
      </w:r>
      <w:r w:rsidR="005A3C24">
        <w:t xml:space="preserve"> </w:t>
      </w:r>
      <w:r w:rsidR="005A3C24">
        <w:t>If office-based role may have occasional lifting of materials up to 25 lbs.</w:t>
      </w:r>
    </w:p>
    <w:p w14:paraId="1AD958FC" w14:textId="2657A4C8" w:rsidR="007410ED" w:rsidRDefault="007410ED" w:rsidP="007410ED">
      <w:pPr>
        <w:pStyle w:val="ListParagraph"/>
        <w:numPr>
          <w:ilvl w:val="0"/>
          <w:numId w:val="8"/>
        </w:numPr>
      </w:pPr>
      <w:r>
        <w:t xml:space="preserve">Frequent travel throughout Oklahoma for court </w:t>
      </w:r>
      <w:r w:rsidR="00FB3E85">
        <w:t>observations</w:t>
      </w:r>
      <w:r>
        <w:t>, training, and stakeholder meetings.</w:t>
      </w:r>
    </w:p>
    <w:p w14:paraId="301203AB" w14:textId="77777777" w:rsidR="007410ED" w:rsidRPr="007410ED" w:rsidRDefault="007410ED" w:rsidP="007410ED">
      <w:pPr>
        <w:rPr>
          <w:b/>
          <w:bCs/>
        </w:rPr>
      </w:pPr>
      <w:r w:rsidRPr="007410ED">
        <w:rPr>
          <w:b/>
          <w:bCs/>
        </w:rPr>
        <w:t>How to Apply</w:t>
      </w:r>
    </w:p>
    <w:p w14:paraId="3E237B75" w14:textId="538DEB19" w:rsidR="007410ED" w:rsidRDefault="007410ED" w:rsidP="007410ED">
      <w:r>
        <w:t xml:space="preserve">Interested candidates should submit a cover letter, resume, and three professional references (including a former supervisee) to </w:t>
      </w:r>
      <w:hyperlink r:id="rId8" w:history="1">
        <w:r w:rsidR="00E275B6" w:rsidRPr="00660CC7">
          <w:rPr>
            <w:rStyle w:val="Hyperlink"/>
          </w:rPr>
          <w:t>gwendolyn.clegg@laok.org</w:t>
        </w:r>
      </w:hyperlink>
      <w:r w:rsidR="00E275B6">
        <w:t xml:space="preserve"> and </w:t>
      </w:r>
      <w:hyperlink r:id="rId9" w:history="1">
        <w:r w:rsidR="00E275B6" w:rsidRPr="00660CC7">
          <w:rPr>
            <w:rStyle w:val="Hyperlink"/>
          </w:rPr>
          <w:t>tara.zinn@laok.org</w:t>
        </w:r>
      </w:hyperlink>
      <w:r w:rsidR="00E275B6">
        <w:t xml:space="preserve"> </w:t>
      </w:r>
    </w:p>
    <w:p w14:paraId="496A4A1F" w14:textId="77777777" w:rsidR="00F36E5D" w:rsidRDefault="00F36E5D"/>
    <w:sectPr w:rsidR="00F3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246"/>
    <w:multiLevelType w:val="hybridMultilevel"/>
    <w:tmpl w:val="D3C4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D59"/>
    <w:multiLevelType w:val="hybridMultilevel"/>
    <w:tmpl w:val="00D0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22CD"/>
    <w:multiLevelType w:val="hybridMultilevel"/>
    <w:tmpl w:val="8634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7E22"/>
    <w:multiLevelType w:val="hybridMultilevel"/>
    <w:tmpl w:val="9ABA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015AE"/>
    <w:multiLevelType w:val="hybridMultilevel"/>
    <w:tmpl w:val="713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F18"/>
    <w:multiLevelType w:val="hybridMultilevel"/>
    <w:tmpl w:val="6C64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D0C"/>
    <w:multiLevelType w:val="hybridMultilevel"/>
    <w:tmpl w:val="858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1F0"/>
    <w:multiLevelType w:val="hybridMultilevel"/>
    <w:tmpl w:val="42F6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A02AC"/>
    <w:multiLevelType w:val="hybridMultilevel"/>
    <w:tmpl w:val="89CE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66B5E"/>
    <w:multiLevelType w:val="hybridMultilevel"/>
    <w:tmpl w:val="FDD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E1E23"/>
    <w:multiLevelType w:val="hybridMultilevel"/>
    <w:tmpl w:val="950C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758">
    <w:abstractNumId w:val="5"/>
  </w:num>
  <w:num w:numId="2" w16cid:durableId="1186941819">
    <w:abstractNumId w:val="8"/>
  </w:num>
  <w:num w:numId="3" w16cid:durableId="490409112">
    <w:abstractNumId w:val="4"/>
  </w:num>
  <w:num w:numId="4" w16cid:durableId="493960173">
    <w:abstractNumId w:val="3"/>
  </w:num>
  <w:num w:numId="5" w16cid:durableId="1343170166">
    <w:abstractNumId w:val="2"/>
  </w:num>
  <w:num w:numId="6" w16cid:durableId="1604609814">
    <w:abstractNumId w:val="0"/>
  </w:num>
  <w:num w:numId="7" w16cid:durableId="911044794">
    <w:abstractNumId w:val="7"/>
  </w:num>
  <w:num w:numId="8" w16cid:durableId="1976329001">
    <w:abstractNumId w:val="10"/>
  </w:num>
  <w:num w:numId="9" w16cid:durableId="1787429543">
    <w:abstractNumId w:val="9"/>
  </w:num>
  <w:num w:numId="10" w16cid:durableId="798840938">
    <w:abstractNumId w:val="1"/>
  </w:num>
  <w:num w:numId="11" w16cid:durableId="478231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D"/>
    <w:rsid w:val="00026B32"/>
    <w:rsid w:val="00211C83"/>
    <w:rsid w:val="005450B4"/>
    <w:rsid w:val="005A3C24"/>
    <w:rsid w:val="007410ED"/>
    <w:rsid w:val="009510C0"/>
    <w:rsid w:val="009916BC"/>
    <w:rsid w:val="00A667C3"/>
    <w:rsid w:val="00BB764C"/>
    <w:rsid w:val="00E10D3D"/>
    <w:rsid w:val="00E275B6"/>
    <w:rsid w:val="00E432AC"/>
    <w:rsid w:val="00F36E5D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1A91"/>
  <w15:chartTrackingRefBased/>
  <w15:docId w15:val="{1327E43C-BFAC-40DA-8F29-E770A2E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75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dolyn.clegg@lao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B7194.B1A8A6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a.zinn@la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 Mccormick</dc:creator>
  <cp:keywords/>
  <dc:description/>
  <cp:lastModifiedBy>Gwendolyn Clegg</cp:lastModifiedBy>
  <cp:revision>2</cp:revision>
  <dcterms:created xsi:type="dcterms:W3CDTF">2025-01-30T22:06:00Z</dcterms:created>
  <dcterms:modified xsi:type="dcterms:W3CDTF">2025-01-30T22:06:00Z</dcterms:modified>
</cp:coreProperties>
</file>